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88E5" w14:textId="69F163FB" w:rsidR="006C1B99" w:rsidRPr="00057FBF" w:rsidRDefault="00831528" w:rsidP="00057FBF">
      <w:pPr>
        <w:pStyle w:val="Heading1"/>
      </w:pPr>
      <w:r w:rsidRPr="00057FBF">
        <w:t>池上</w:t>
      </w:r>
      <w:r w:rsidR="006C1B99" w:rsidRPr="00057FBF">
        <w:t>ESG永續計劃</w:t>
      </w:r>
    </w:p>
    <w:p w14:paraId="01D2B367" w14:textId="7E517F67" w:rsidR="005A04B0" w:rsidRPr="00057FBF" w:rsidRDefault="00FC6E4E" w:rsidP="00057FBF">
      <w:pPr>
        <w:pStyle w:val="Heading2"/>
      </w:pPr>
      <w:r w:rsidRPr="00057FBF">
        <w:t>從台灣的池上成為世界的池上</w:t>
      </w:r>
    </w:p>
    <w:p w14:paraId="41DAEB72" w14:textId="044C4000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建立台東縣池上鄉的「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ESG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永續計劃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」是一個結合國際標準、地方文化遺產與再生農業的創新願景。這項計劃由天地和氣股份有限公司（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Eco-affinity Inc.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）擔任開發者，以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黃金標準（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 Standard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）專案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GS23490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為核心，旨在將池上的農業實踐轉化為可量化的氣候資產與永續發展成果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10AC5B76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一、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核心架構：池上小農種碳專案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(GS23490)</w:t>
      </w:r>
    </w:p>
    <w:p w14:paraId="3F3D6A9A" w14:textId="118BB786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本計劃以「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國際千分之四倡議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」為科學基石，透過</w:t>
      </w:r>
      <w:r>
        <w:rPr>
          <w:rFonts w:ascii="Heiti TC" w:eastAsia="Heiti TC" w:hAnsi="Heiti TC" w:cs="Heiti TC" w:hint="eastAsia"/>
          <w:kern w:val="0"/>
          <w14:ligatures w14:val="none"/>
        </w:rPr>
        <w:t>黃金標準國際永續與減碳認證機構的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增加土壤有機碳（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SOC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</w:t>
      </w:r>
      <w:r>
        <w:rPr>
          <w:rFonts w:ascii="Heiti TC" w:eastAsia="Heiti TC" w:hAnsi="Heiti TC" w:cs="Heiti TC" w:hint="eastAsia"/>
          <w:kern w:val="0"/>
          <w14:ligatures w14:val="none"/>
        </w:rPr>
        <w:t>框架方法學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來落實自願性減碳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22F5A48" w14:textId="77777777" w:rsidR="006C1B99" w:rsidRPr="006C1B99" w:rsidRDefault="006C1B99" w:rsidP="006C1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農業技術模組：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專案採用黃金標準的「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覆蓋作物（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 Crops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」與「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改善耕作（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Tillage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」活動模組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5DA748CE" w14:textId="77777777" w:rsidR="006C1B99" w:rsidRPr="006C1B99" w:rsidRDefault="006C1B99" w:rsidP="006C1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實踐規模：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目前已有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209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公頃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稻田加入，在二期稻作收割後，播種油菜花、蕎麥等綠肥作物進行地表覆蓋，減少土壤裸露並保護肥力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75A10011" w14:textId="77777777" w:rsidR="006C1B99" w:rsidRPr="006C1B99" w:rsidRDefault="006C1B99" w:rsidP="006C1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糧食安全（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SDG 2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透過提升土壤品質來優化國內優質糧食供應基地，應對台灣糧食自給率僅約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30%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的危機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C8C8855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二、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倡議升級：「永續田園地景」與生態旅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遊</w:t>
      </w:r>
    </w:p>
    <w:p w14:paraId="7656FDF7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專案不只關注減碳，更延伸至景觀美學與經濟韌性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259EBD0" w14:textId="77777777" w:rsidR="006C1B99" w:rsidRPr="006C1B99" w:rsidRDefault="006C1B99" w:rsidP="006C1B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景觀與韌性：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提出「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永續田園地景倡議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」或「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氣候韌性田園景觀倡議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」。透過休耕期的作物覆蓋，改善傳統翻耕導致的風沙問題，形成隨季節變化的「無價大景」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4EB8406F" w14:textId="77777777" w:rsidR="006C1B99" w:rsidRPr="006C1B99" w:rsidRDefault="006C1B99" w:rsidP="006C1B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生態旅遊連結（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SDG 8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將地景轉化為觀光資源，吸引遊客參訪，並推廣「星空騎行」等低碳活動，增加農民非農業收入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D8CD32C" w14:textId="5FC7DB10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三、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區域擴散：從萬安</w:t>
      </w:r>
      <w:r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社區（新開園老田區）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「核心區」到</w:t>
      </w:r>
      <w:r w:rsidR="0042522E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外圍</w:t>
      </w:r>
      <w:r w:rsidR="00D75430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區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計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劃</w:t>
      </w:r>
    </w:p>
    <w:p w14:paraId="6E8DF83A" w14:textId="3B2C229D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計劃以池上萬安社區的「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新開園老田區文化景觀區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」為蛋黃核心，將永續行動擴散至周邊商業生態系</w:t>
      </w:r>
      <w:r w:rsidR="00D75430">
        <w:rPr>
          <w:rFonts w:ascii="Heiti TC" w:eastAsia="Heiti TC" w:hAnsi="Heiti TC" w:cs="Heiti TC" w:hint="eastAsia"/>
          <w:kern w:val="0"/>
          <w14:ligatures w14:val="none"/>
        </w:rPr>
        <w:t>（蛋白區）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5778C094" w14:textId="77777777" w:rsidR="006C1B99" w:rsidRPr="006C1B99" w:rsidRDefault="006C1B99" w:rsidP="006C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商業協同：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帶動周圍商店、餐廳、民宿及電動三輪車業者，全面對接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SDG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永續發展目標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（如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SDG 12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責任消費）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4E80E32D" w14:textId="0F6D4693" w:rsidR="006C1B99" w:rsidRPr="006C1B99" w:rsidRDefault="006C1B99" w:rsidP="006C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文化保存：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計劃需配合《文化資產保存法》與縣府</w:t>
      </w:r>
      <w:r>
        <w:rPr>
          <w:rFonts w:ascii="Heiti TC" w:eastAsia="Heiti TC" w:hAnsi="Heiti TC" w:cs="Heiti TC" w:hint="eastAsia"/>
          <w:kern w:val="0"/>
          <w14:ligatures w14:val="none"/>
        </w:rPr>
        <w:t>、公所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相關法規，維護具有歷史價值的人文景觀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41982764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四、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治理與法制：生態系統服務給付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(PES)</w:t>
      </w:r>
    </w:p>
    <w:p w14:paraId="052BEC57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為了確保長期運作與公平性，計劃建議建立地方自治條例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1168440" w14:textId="77777777" w:rsidR="006C1B99" w:rsidRPr="006C1B99" w:rsidRDefault="006C1B99" w:rsidP="006C1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自治條例提案：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建議修訂或建立「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池上文化景觀與永續發展自治條例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」，將現有的津貼機制提升為「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生態系統服務給付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(PES)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」條款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57DC3908" w14:textId="7F993E81" w:rsidR="006C1B99" w:rsidRPr="006C1B99" w:rsidRDefault="006C1B99" w:rsidP="006C1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永續地標補償：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針對如「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奉茶樹</w:t>
      </w:r>
      <w:r>
        <w:rPr>
          <w:rFonts w:ascii="Heiti TC" w:eastAsia="Heiti TC" w:hAnsi="Heiti TC" w:cs="Heiti TC" w:hint="eastAsia"/>
          <w:kern w:val="0"/>
          <w14:ligatures w14:val="none"/>
        </w:rPr>
        <w:t>（原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金城武樹</w:t>
      </w:r>
      <w:r>
        <w:rPr>
          <w:rFonts w:ascii="Heiti TC" w:eastAsia="Heiti TC" w:hAnsi="Heiti TC" w:cs="Heiti TC" w:hint="eastAsia"/>
          <w:b/>
          <w:bCs/>
          <w:kern w:val="0"/>
          <w14:ligatures w14:val="none"/>
        </w:rPr>
        <w:t>）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</w:t>
      </w:r>
      <w:r>
        <w:rPr>
          <w:rFonts w:ascii="Heiti TC" w:eastAsia="Heiti TC" w:hAnsi="Heiti TC" w:cs="Heiti TC" w:hint="eastAsia"/>
          <w:kern w:val="0"/>
          <w14:ligatures w14:val="none"/>
        </w:rPr>
        <w:t>、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伯朗大道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、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天堂路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、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浮圳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等因景觀需求而影響農作生產的特定農田，建立實質補償與維護機制，由社會共同分擔維護成本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684C113" w14:textId="77777777" w:rsidR="006C1B99" w:rsidRPr="006C1B99" w:rsidRDefault="006C1B99" w:rsidP="006C1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公民參與與盡職調查：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由公民團體開發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ESG/SDG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盡職調查（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Diligence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準則，確保計劃公開、透明並具備社會公信力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1DEFBAB0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五、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數位賦能：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MiHuMiSang App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與數位驗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證</w:t>
      </w:r>
    </w:p>
    <w:p w14:paraId="10D9C20A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計劃將運用資訊技術提升透明度與未來價值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CF5B3C8" w14:textId="2AD38ACC" w:rsidR="006C1B99" w:rsidRPr="006C1B99" w:rsidRDefault="006C1B99" w:rsidP="006C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ICT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工具：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指定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MiHuMiSang App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作為農</w:t>
      </w:r>
      <w:r>
        <w:rPr>
          <w:rFonts w:ascii="Heiti TC" w:eastAsia="Heiti TC" w:hAnsi="Heiti TC" w:cs="Heiti TC" w:hint="eastAsia"/>
          <w:kern w:val="0"/>
          <w14:ligatures w14:val="none"/>
        </w:rPr>
        <w:t>田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管理、數據溯源與活動報告的工具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48FEB155" w14:textId="3164C51B" w:rsidR="006C1B99" w:rsidRPr="006C1B99" w:rsidRDefault="006C1B99" w:rsidP="006C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遊客參與驗證：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讓生態遊客透過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App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參與</w:t>
      </w:r>
      <w:r>
        <w:rPr>
          <w:rFonts w:ascii="Heiti TC" w:eastAsia="Heiti TC" w:hAnsi="Heiti TC" w:cs="Heiti TC" w:hint="eastAsia"/>
          <w:kern w:val="0"/>
          <w14:ligatures w14:val="none"/>
        </w:rPr>
        <w:t>小農種碳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現場驗證與社群分享，加強消費者對永續產品的認同感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6DE5F420" w14:textId="77777777" w:rsidR="006C1B99" w:rsidRPr="006C1B99" w:rsidRDefault="006C1B99" w:rsidP="006C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資產代幣化：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預留未來將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SDG/ESG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成果轉化為數位代幣（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Tokenization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）的可能性，對接綠色金融與消費回饋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29D35F32" w14:textId="0D6286A6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六、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成功典範轉型：從產地</w:t>
      </w:r>
      <w:r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註冊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證明到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ESG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認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證</w:t>
      </w:r>
    </w:p>
    <w:p w14:paraId="2CF7C679" w14:textId="7AF8EB6C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池上曾在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2000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年代透過「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池上</w:t>
      </w:r>
      <w:r>
        <w:rPr>
          <w:rFonts w:ascii="Heiti TC" w:eastAsia="Heiti TC" w:hAnsi="Heiti TC" w:cs="Heiti TC" w:hint="eastAsia"/>
          <w:b/>
          <w:bCs/>
          <w:kern w:val="0"/>
          <w14:ligatures w14:val="none"/>
        </w:rPr>
        <w:t>米註冊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證</w:t>
      </w:r>
      <w:r>
        <w:rPr>
          <w:rFonts w:ascii="Heiti TC" w:eastAsia="Heiti TC" w:hAnsi="Heiti TC" w:cs="Heiti TC" w:hint="eastAsia"/>
          <w:b/>
          <w:bCs/>
          <w:kern w:val="0"/>
          <w14:ligatures w14:val="none"/>
        </w:rPr>
        <w:t>明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標章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」成功打擊仿冒並提升農民收益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885EA79" w14:textId="063F8698" w:rsidR="006C1B99" w:rsidRPr="006C1B99" w:rsidRDefault="006C1B99" w:rsidP="006C1B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公私協作模型：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本計劃將比照此成功經驗，建立一個公私機構共同參與的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池上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ESG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永續計劃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，將池上米與地景提升至國際黃金標準</w:t>
      </w:r>
      <w:r>
        <w:rPr>
          <w:rFonts w:ascii="Heiti TC" w:eastAsia="Heiti TC" w:hAnsi="Heiti TC" w:cs="Heiti TC" w:hint="eastAsia"/>
          <w:kern w:val="0"/>
          <w14:ligatures w14:val="none"/>
        </w:rPr>
        <w:t>永續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認證的高度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480E79F" w14:textId="77777777" w:rsidR="006C1B99" w:rsidRPr="006C1B99" w:rsidRDefault="006C1B99" w:rsidP="006C1B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IFRS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對接：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這些經過驗證的績效，將成為上市櫃公司符合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IFRS S1/S2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財務揭露要求的關鍵憑證，達成環境、經濟與社會的三贏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212313CC" w14:textId="68CFFAAC" w:rsidR="006C1B99" w:rsidRDefault="006C1B99" w:rsidP="000C7400">
      <w:pPr>
        <w:spacing w:before="100" w:beforeAutospacing="1" w:after="100" w:afterAutospacing="1" w:line="240" w:lineRule="auto"/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您可以將此視為一種「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土壤與心靈的同步再生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」，就像農地的經營管理內在改變，會自然顯現在地景與農產品的品質上（即「相由心生」）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  <w:r>
        <w:br w:type="page"/>
      </w:r>
    </w:p>
    <w:p w14:paraId="2810749B" w14:textId="04FD3E75" w:rsidR="008C4695" w:rsidRDefault="00BE381A" w:rsidP="00057FBF">
      <w:pPr>
        <w:pStyle w:val="Heading1"/>
        <w:rPr>
          <w:lang w:val="en-US"/>
        </w:rPr>
      </w:pPr>
      <w:r>
        <w:rPr>
          <w:rFonts w:hint="eastAsia"/>
          <w:lang w:val="en-US"/>
        </w:rPr>
        <w:t>符合</w:t>
      </w:r>
      <w:r w:rsidR="008C4695">
        <w:rPr>
          <w:rFonts w:hint="eastAsia"/>
          <w:lang w:val="en-US"/>
        </w:rPr>
        <w:t>國際永續財務</w:t>
      </w:r>
      <w:r>
        <w:rPr>
          <w:rFonts w:hint="eastAsia"/>
          <w:lang w:val="en-US"/>
        </w:rPr>
        <w:t xml:space="preserve"> S1, S2</w:t>
      </w:r>
      <w:r w:rsidR="00930AE2">
        <w:rPr>
          <w:rFonts w:hint="eastAsia"/>
          <w:lang w:val="en-US"/>
        </w:rPr>
        <w:t>準則</w:t>
      </w:r>
    </w:p>
    <w:p w14:paraId="573BE4A5" w14:textId="62A54FD4" w:rsidR="006C1B99" w:rsidRPr="00057FBF" w:rsidRDefault="006C1B99" w:rsidP="00930AE2">
      <w:pPr>
        <w:pStyle w:val="Heading2"/>
      </w:pPr>
      <w:r w:rsidRPr="00057FBF">
        <w:rPr>
          <w:rFonts w:hint="eastAsia"/>
        </w:rPr>
        <w:t>把池上永續的明信片變成</w:t>
      </w:r>
      <w:r w:rsidR="00930AE2">
        <w:rPr>
          <w:rFonts w:hint="eastAsia"/>
        </w:rPr>
        <w:t>企業永續</w:t>
      </w:r>
      <w:r w:rsidRPr="00057FBF">
        <w:rPr>
          <w:rFonts w:hint="eastAsia"/>
        </w:rPr>
        <w:t>對帳單</w:t>
      </w:r>
    </w:p>
    <w:p w14:paraId="3A0D98E3" w14:textId="2FBF7319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國際永續準則理事會（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ISSB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）於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2023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年發布的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**IFRS S1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（一般永續揭露）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與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IFRS S2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（氣候相關揭露）標準，正在將農業永續性從定性的口號轉化為可資審計的財務績效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。在台灣，金融監督管理委員會（金管會）要求上市櫃公司自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2026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年起分階段實施這些國際永續揭露準則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6AF1DCC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kern w:val="0"/>
          <w14:ligatures w14:val="none"/>
        </w:rPr>
        <w:t>以下是這些標準對農業財務揭露的具體影響</w:t>
      </w:r>
      <w:r w:rsidRPr="006C1B99">
        <w:rPr>
          <w:rFonts w:ascii="Heiti TC" w:eastAsia="Heiti TC" w:hAnsi="Heiti TC" w:cs="Heiti TC"/>
          <w:kern w:val="0"/>
          <w14:ligatures w14:val="none"/>
        </w:rPr>
        <w:t>：</w:t>
      </w:r>
    </w:p>
    <w:p w14:paraId="7716F312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一、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IFRS S1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（一般永續揭露）的影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響</w:t>
      </w:r>
    </w:p>
    <w:p w14:paraId="4678032F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IFRS S1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要求企業揭露永續相關風險與機會對財務績效的影響，這涉及對農業專案進行量化揭露</w:t>
      </w:r>
      <w:r w:rsidRPr="006C1B99">
        <w:rPr>
          <w:rFonts w:ascii="Heiti TC" w:eastAsia="Heiti TC" w:hAnsi="Heiti TC" w:cs="Heiti TC"/>
          <w:kern w:val="0"/>
          <w14:ligatures w14:val="none"/>
        </w:rPr>
        <w:t>：</w:t>
      </w:r>
    </w:p>
    <w:p w14:paraId="051EEF7B" w14:textId="77777777" w:rsidR="006C1B99" w:rsidRPr="006C1B99" w:rsidRDefault="006C1B99" w:rsidP="006C1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新收入來源：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企業必須揭露產生的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碳權銷售收入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（如經認證的自願減碳額度）以及透過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生態系統服務給付（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PES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獲得的生態農產品溢價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ED5E727" w14:textId="77777777" w:rsidR="006C1B99" w:rsidRPr="006C1B99" w:rsidRDefault="006C1B99" w:rsidP="006C1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營運成本：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披露內容必須包含建置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監測系統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的成本，以及作為供應鏈管理一部分支付給小農的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PES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費用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3F116FC0" w14:textId="77777777" w:rsidR="006C1B99" w:rsidRPr="006C1B99" w:rsidRDefault="006C1B99" w:rsidP="006C1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重大風險：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企業需進行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情境分析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，揭露極端氣候事件如何影響作物產量及隨後的財務穩定性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1AF8F584" w14:textId="77777777" w:rsidR="006C1B99" w:rsidRPr="006C1B99" w:rsidRDefault="006C1B99" w:rsidP="006C1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資產估值：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提升後的田園地景價值與生態服務效益可被重新定義為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永續投資組合（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Sustainability Investing Portfolio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，轉化為資產負債表上的可量化資產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5BEF777B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二、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IFRS S2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（氣候相關揭露）的影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響</w:t>
      </w:r>
    </w:p>
    <w:p w14:paraId="0CC7A22C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IFRS S2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專注於氣候變遷風險與緩解策略，在農業領域，這主要透過土壤有機碳（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SOC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）與再生農法來衡量</w:t>
      </w:r>
      <w:r w:rsidRPr="006C1B99">
        <w:rPr>
          <w:rFonts w:ascii="Heiti TC" w:eastAsia="Heiti TC" w:hAnsi="Heiti TC" w:cs="Heiti TC"/>
          <w:kern w:val="0"/>
          <w14:ligatures w14:val="none"/>
        </w:rPr>
        <w:t>：</w:t>
      </w:r>
    </w:p>
    <w:p w14:paraId="61A52875" w14:textId="77777777" w:rsidR="006C1B99" w:rsidRPr="006C1B99" w:rsidRDefault="006C1B99" w:rsidP="006C1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量化實體風險緩解：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採用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覆蓋作物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等措施被視為對抗乾旱的緩解手段；企業必須揭露這如何提升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產量穩定性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（量化為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±%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的營收波動）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180DEC5E" w14:textId="042D4F0C" w:rsidR="006C1B99" w:rsidRPr="006C1B99" w:rsidRDefault="006C1B99" w:rsidP="006C1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轉型資產貨幣化：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可驗證的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土壤碳匯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將被報告為「氣候轉型資產」。這些資產在財務上被量化為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碳稅節省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，以每噸二氧化碳當量（</w:t>
      </w:r>
      <w:r w:rsidR="00831528">
        <w:rPr>
          <w:rFonts w:ascii="Heiti TC" w:eastAsia="Heiti TC" w:hAnsi="Heiti TC" w:cs="Heiti TC"/>
          <w:kern w:val="0"/>
          <w:lang w:val="en-US"/>
          <w14:ligatures w14:val="none"/>
        </w:rPr>
        <w:t>tCO2e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）節省的美元數額表示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6931A026" w14:textId="77777777" w:rsidR="006C1B99" w:rsidRPr="006C1B99" w:rsidRDefault="006C1B99" w:rsidP="006C1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自然解決方案（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NbS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）：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透過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PES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採購所帶來的生物多樣性效益或碳匯貢獻，在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IFRS S2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下可作為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NbS 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投資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進行揭露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2FD9AF04" w14:textId="77777777" w:rsidR="006C1B99" w:rsidRPr="006C1B99" w:rsidRDefault="006C1B99" w:rsidP="006C1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三、</w:t>
      </w:r>
      <w:r w:rsidRPr="006C1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b/>
          <w:bCs/>
          <w:kern w:val="0"/>
          <w:sz w:val="27"/>
          <w:szCs w:val="27"/>
          <w14:ligatures w14:val="none"/>
        </w:rPr>
        <w:t>供應鏈（範疇三）管理與防止「漂綠</w:t>
      </w:r>
      <w:r w:rsidRPr="006C1B99">
        <w:rPr>
          <w:rFonts w:ascii="Heiti TC" w:eastAsia="Heiti TC" w:hAnsi="Heiti TC" w:cs="Heiti TC"/>
          <w:b/>
          <w:bCs/>
          <w:kern w:val="0"/>
          <w:sz w:val="27"/>
          <w:szCs w:val="27"/>
          <w14:ligatures w14:val="none"/>
        </w:rPr>
        <w:t>」</w:t>
      </w:r>
    </w:p>
    <w:p w14:paraId="4D1C04CB" w14:textId="7777777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IFRS S1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和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S2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下的農業揭露對於上市櫃公司管理其複雜的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範疇三（供應鏈）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排放至關重要</w:t>
      </w:r>
      <w:r w:rsidRPr="006C1B99">
        <w:rPr>
          <w:rFonts w:ascii="Heiti TC" w:eastAsia="Heiti TC" w:hAnsi="Heiti TC" w:cs="Heiti TC"/>
          <w:kern w:val="0"/>
          <w14:ligatures w14:val="none"/>
        </w:rPr>
        <w:t>：</w:t>
      </w:r>
    </w:p>
    <w:p w14:paraId="46F0BF81" w14:textId="77777777" w:rsidR="006C1B99" w:rsidRPr="006C1B99" w:rsidRDefault="006C1B99" w:rsidP="006C1B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可驗證數據：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使用如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黃金標準（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GS4GG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等國際框架的專案，能提供「可信賴、可比較、可驗證」的數據，幫助上市櫃公司證明合規並防止報告中的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「漂綠（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Greenwashing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）」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行為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1CEF96F3" w14:textId="77777777" w:rsidR="006C1B99" w:rsidRPr="006C1B99" w:rsidRDefault="006C1B99" w:rsidP="006C1B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第三方確信：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為滿足揭露要求，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PES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採購比例、小農收入保障比例或農藥減量等量化指標，必須經過會計師事務所的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第三方確信或保證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2E7EAF03" w14:textId="77777777" w:rsidR="006C1B99" w:rsidRPr="006C1B99" w:rsidRDefault="006C1B99" w:rsidP="006C1B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透明度工具：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利用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MiHuMiSang App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等數位資通訊工具，可以確保農場端活動的</w:t>
      </w: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真實性、溯源性與透明度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，這對於建立企業財務審計軌跡至關重要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4D0CCB8C" w14:textId="77777777" w:rsidR="006C1B99" w:rsidRPr="006C1B99" w:rsidRDefault="002B21DB" w:rsidP="006C1B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2B21DB">
        <w:rPr>
          <w:rFonts w:ascii="Times New Roman" w:eastAsia="Times New Roman" w:hAnsi="Times New Roman" w:cs="Times New Roman"/>
          <w:noProof/>
          <w:kern w:val="0"/>
        </w:rPr>
        <w:pict w14:anchorId="30C2E6E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E9A24E" w14:textId="38DBEDE7" w:rsidR="006C1B99" w:rsidRPr="006C1B99" w:rsidRDefault="006C1B99" w:rsidP="006C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1B99">
        <w:rPr>
          <w:rFonts w:ascii="Heiti TC" w:eastAsia="Heiti TC" w:hAnsi="Heiti TC" w:cs="Heiti TC" w:hint="eastAsia"/>
          <w:b/>
          <w:bCs/>
          <w:kern w:val="0"/>
          <w14:ligatures w14:val="none"/>
        </w:rPr>
        <w:t>比喻：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如果傳統的農業報告只是描述農場美景的「明信片」，那麼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IFRS S1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和</w:t>
      </w:r>
      <w:r w:rsidRPr="006C1B99">
        <w:rPr>
          <w:rFonts w:ascii="Times New Roman" w:eastAsia="Times New Roman" w:hAnsi="Times New Roman" w:cs="Times New Roman"/>
          <w:kern w:val="0"/>
          <w14:ligatures w14:val="none"/>
        </w:rPr>
        <w:t xml:space="preserve"> S2 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就將這張明信片變成了詳細的「</w:t>
      </w:r>
      <w:r w:rsidR="00930AE2">
        <w:rPr>
          <w:rFonts w:ascii="Heiti TC" w:eastAsia="Heiti TC" w:hAnsi="Heiti TC" w:cs="Heiti TC" w:hint="eastAsia"/>
          <w:kern w:val="0"/>
          <w14:ligatures w14:val="none"/>
        </w:rPr>
        <w:t>企業永續</w:t>
      </w:r>
      <w:r w:rsidRPr="006C1B99">
        <w:rPr>
          <w:rFonts w:ascii="Heiti TC" w:eastAsia="Heiti TC" w:hAnsi="Heiti TC" w:cs="Heiti TC" w:hint="eastAsia"/>
          <w:kern w:val="0"/>
          <w14:ligatures w14:val="none"/>
        </w:rPr>
        <w:t>帳單」，精確地證明了土壤健康對公司盈餘的價值</w:t>
      </w:r>
      <w:r w:rsidRPr="006C1B99">
        <w:rPr>
          <w:rFonts w:ascii="Heiti TC" w:eastAsia="Heiti TC" w:hAnsi="Heiti TC" w:cs="Heiti TC"/>
          <w:kern w:val="0"/>
          <w14:ligatures w14:val="none"/>
        </w:rPr>
        <w:t>。</w:t>
      </w:r>
    </w:p>
    <w:p w14:paraId="0B3C9E50" w14:textId="77777777" w:rsidR="006C1B99" w:rsidRDefault="006C1B99"/>
    <w:sectPr w:rsidR="006C1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altName w:val="Yu Gothic"/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90"/>
    <w:multiLevelType w:val="multilevel"/>
    <w:tmpl w:val="6D18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D4244"/>
    <w:multiLevelType w:val="multilevel"/>
    <w:tmpl w:val="B3C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47D39"/>
    <w:multiLevelType w:val="multilevel"/>
    <w:tmpl w:val="A51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85775"/>
    <w:multiLevelType w:val="multilevel"/>
    <w:tmpl w:val="E396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11DEB"/>
    <w:multiLevelType w:val="multilevel"/>
    <w:tmpl w:val="D93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A7FF0"/>
    <w:multiLevelType w:val="multilevel"/>
    <w:tmpl w:val="E16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71D3C"/>
    <w:multiLevelType w:val="multilevel"/>
    <w:tmpl w:val="6DE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E0F60"/>
    <w:multiLevelType w:val="multilevel"/>
    <w:tmpl w:val="2A6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95697"/>
    <w:multiLevelType w:val="multilevel"/>
    <w:tmpl w:val="464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39709">
    <w:abstractNumId w:val="4"/>
  </w:num>
  <w:num w:numId="2" w16cid:durableId="2002350503">
    <w:abstractNumId w:val="5"/>
  </w:num>
  <w:num w:numId="3" w16cid:durableId="2037345571">
    <w:abstractNumId w:val="8"/>
  </w:num>
  <w:num w:numId="4" w16cid:durableId="815416367">
    <w:abstractNumId w:val="1"/>
  </w:num>
  <w:num w:numId="5" w16cid:durableId="1656107825">
    <w:abstractNumId w:val="0"/>
  </w:num>
  <w:num w:numId="6" w16cid:durableId="1836918948">
    <w:abstractNumId w:val="2"/>
  </w:num>
  <w:num w:numId="7" w16cid:durableId="1027369823">
    <w:abstractNumId w:val="3"/>
  </w:num>
  <w:num w:numId="8" w16cid:durableId="2138644423">
    <w:abstractNumId w:val="7"/>
  </w:num>
  <w:num w:numId="9" w16cid:durableId="40448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99"/>
    <w:rsid w:val="000007D2"/>
    <w:rsid w:val="00023DAC"/>
    <w:rsid w:val="00057FBF"/>
    <w:rsid w:val="000C7400"/>
    <w:rsid w:val="00232BF4"/>
    <w:rsid w:val="002B21DB"/>
    <w:rsid w:val="0042522E"/>
    <w:rsid w:val="004300F5"/>
    <w:rsid w:val="00470BDD"/>
    <w:rsid w:val="005A04B0"/>
    <w:rsid w:val="006C1B99"/>
    <w:rsid w:val="006E1EC7"/>
    <w:rsid w:val="00831528"/>
    <w:rsid w:val="008C4695"/>
    <w:rsid w:val="00930AE2"/>
    <w:rsid w:val="00BB450E"/>
    <w:rsid w:val="00BE381A"/>
    <w:rsid w:val="00D75430"/>
    <w:rsid w:val="00DF709D"/>
    <w:rsid w:val="00E9750C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CEA3"/>
  <w15:chartTrackingRefBased/>
  <w15:docId w15:val="{01396C50-3F54-F745-B26F-5D7DA17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FBF"/>
    <w:pPr>
      <w:keepNext/>
      <w:keepLines/>
      <w:spacing w:before="360" w:after="80"/>
      <w:jc w:val="center"/>
      <w:outlineLvl w:val="0"/>
    </w:pPr>
    <w:rPr>
      <w:rFonts w:ascii="Heiti TC Medium" w:eastAsia="Heiti TC Medium" w:hAnsi="Heiti TC Medium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FBF"/>
    <w:pPr>
      <w:keepNext/>
      <w:keepLines/>
      <w:spacing w:before="160" w:after="80"/>
      <w:jc w:val="center"/>
      <w:outlineLvl w:val="1"/>
    </w:pPr>
    <w:rPr>
      <w:rFonts w:ascii="Heiti TC Medium" w:eastAsia="Heiti TC Medium" w:hAnsi="Heiti TC Medium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FBF"/>
    <w:rPr>
      <w:rFonts w:ascii="Heiti TC Medium" w:eastAsia="Heiti TC Medium" w:hAnsi="Heiti TC Medium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7FBF"/>
    <w:rPr>
      <w:rFonts w:ascii="Heiti TC Medium" w:eastAsia="Heiti TC Medium" w:hAnsi="Heiti TC Medium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1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B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2291</Words>
  <Characters>2611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Fang</dc:creator>
  <cp:keywords/>
  <dc:description/>
  <cp:lastModifiedBy>Jay Fang</cp:lastModifiedBy>
  <cp:revision>13</cp:revision>
  <dcterms:created xsi:type="dcterms:W3CDTF">2026-01-03T13:51:00Z</dcterms:created>
  <dcterms:modified xsi:type="dcterms:W3CDTF">2026-01-07T13:16:00Z</dcterms:modified>
</cp:coreProperties>
</file>